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AF" w:rsidRPr="00543853" w:rsidRDefault="00A01EAF" w:rsidP="00CB68AA">
      <w:pPr>
        <w:pStyle w:val="NoSpacing"/>
        <w:jc w:val="center"/>
        <w:rPr>
          <w:b/>
          <w:i/>
          <w:sz w:val="40"/>
        </w:rPr>
      </w:pPr>
      <w:r w:rsidRPr="00CB68AA">
        <w:rPr>
          <w:b/>
          <w:sz w:val="40"/>
        </w:rPr>
        <w:t xml:space="preserve">Goal </w:t>
      </w:r>
      <w:r w:rsidR="00C37DC1">
        <w:rPr>
          <w:b/>
          <w:sz w:val="40"/>
        </w:rPr>
        <w:t>1</w:t>
      </w:r>
      <w:r w:rsidR="00543853">
        <w:rPr>
          <w:b/>
          <w:sz w:val="40"/>
        </w:rPr>
        <w:t xml:space="preserve"> Intervention</w:t>
      </w:r>
      <w:r w:rsidRPr="00CB68AA">
        <w:rPr>
          <w:b/>
          <w:sz w:val="40"/>
        </w:rPr>
        <w:t xml:space="preserve">: </w:t>
      </w:r>
      <w:r w:rsidRPr="00543853">
        <w:rPr>
          <w:b/>
          <w:i/>
          <w:sz w:val="40"/>
        </w:rPr>
        <w:t xml:space="preserve"> </w:t>
      </w:r>
      <w:r w:rsidR="00C37DC1">
        <w:rPr>
          <w:b/>
          <w:i/>
          <w:sz w:val="40"/>
        </w:rPr>
        <w:t>Text Marking</w:t>
      </w:r>
    </w:p>
    <w:p w:rsidR="00CB68AA" w:rsidRPr="009872ED" w:rsidRDefault="00A01EAF" w:rsidP="00CB68AA">
      <w:pPr>
        <w:pStyle w:val="NoSpacing"/>
        <w:rPr>
          <w:sz w:val="20"/>
        </w:rPr>
      </w:pPr>
      <w:r w:rsidRPr="009872ED">
        <w:rPr>
          <w:sz w:val="20"/>
        </w:rPr>
        <w:t>According to r</w:t>
      </w:r>
      <w:r w:rsidR="007A07E8">
        <w:rPr>
          <w:sz w:val="20"/>
        </w:rPr>
        <w:t>esearch</w:t>
      </w:r>
      <w:r w:rsidRPr="009872ED">
        <w:rPr>
          <w:sz w:val="20"/>
        </w:rPr>
        <w:t xml:space="preserve">, </w:t>
      </w:r>
      <w:r w:rsidR="00C37DC1" w:rsidRPr="009872ED">
        <w:rPr>
          <w:sz w:val="20"/>
        </w:rPr>
        <w:t>students are able to gain a deeper understanding of text and engage more fully with rigorous material when they employ the critical reading process including marking the text</w:t>
      </w:r>
      <w:proofErr w:type="gramStart"/>
      <w:r w:rsidR="00C37DC1" w:rsidRPr="009872ED">
        <w:rPr>
          <w:sz w:val="20"/>
        </w:rPr>
        <w:t>.</w:t>
      </w:r>
      <w:r w:rsidRPr="009872ED">
        <w:rPr>
          <w:sz w:val="20"/>
        </w:rPr>
        <w:t>.</w:t>
      </w:r>
      <w:proofErr w:type="gramEnd"/>
      <w:r w:rsidR="00CB68AA" w:rsidRPr="009872ED">
        <w:rPr>
          <w:rStyle w:val="FootnoteReference"/>
          <w:sz w:val="20"/>
        </w:rPr>
        <w:footnoteReference w:id="1"/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What is it?</w:t>
      </w:r>
    </w:p>
    <w:p w:rsidR="00CB68AA" w:rsidRDefault="00A67E53" w:rsidP="00CB68AA">
      <w:pPr>
        <w:pStyle w:val="NoSpacing"/>
        <w:numPr>
          <w:ilvl w:val="0"/>
          <w:numId w:val="2"/>
        </w:numPr>
      </w:pPr>
      <w:r>
        <w:t>Connects class reading to a “Purpose for Reading”</w:t>
      </w:r>
    </w:p>
    <w:p w:rsidR="00A67E53" w:rsidRDefault="00A67E53" w:rsidP="00A67E53">
      <w:pPr>
        <w:pStyle w:val="NoSpacing"/>
        <w:numPr>
          <w:ilvl w:val="0"/>
          <w:numId w:val="2"/>
        </w:numPr>
      </w:pPr>
      <w:r>
        <w:t>Students identify and define unknown vocabulary</w:t>
      </w:r>
    </w:p>
    <w:p w:rsidR="00A67E53" w:rsidRDefault="00A67E53" w:rsidP="00CB68AA">
      <w:pPr>
        <w:pStyle w:val="NoSpacing"/>
        <w:numPr>
          <w:ilvl w:val="0"/>
          <w:numId w:val="2"/>
        </w:numPr>
      </w:pPr>
      <w:r>
        <w:t>Students make marks on their text to stay connected to the reading purpose</w:t>
      </w:r>
    </w:p>
    <w:p w:rsidR="00A67E53" w:rsidRDefault="00A67E53" w:rsidP="00CB68AA">
      <w:pPr>
        <w:pStyle w:val="NoSpacing"/>
        <w:numPr>
          <w:ilvl w:val="0"/>
          <w:numId w:val="2"/>
        </w:numPr>
      </w:pPr>
      <w:r>
        <w:t>Students break text into chunks of manageable size</w:t>
      </w:r>
    </w:p>
    <w:p w:rsidR="00CB68AA" w:rsidRDefault="00CB68AA" w:rsidP="00CB68AA">
      <w:pPr>
        <w:pStyle w:val="NoSpacing"/>
        <w:rPr>
          <w:i/>
        </w:rPr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Where is it done?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In the body</w:t>
      </w:r>
      <w:r w:rsidR="00CB68AA">
        <w:t xml:space="preserve"> of Cornell notes</w:t>
      </w:r>
      <w:r>
        <w:t>, as part of the revision process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While r</w:t>
      </w:r>
      <w:r w:rsidR="00CB68AA">
        <w:t>eading a text selection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While reading</w:t>
      </w:r>
      <w:r w:rsidR="00CB68AA">
        <w:t xml:space="preserve"> a textbook</w:t>
      </w:r>
      <w:r>
        <w:t xml:space="preserve"> (use sticky notes for marks)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While reading test questions or directions</w:t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Why is it done?</w:t>
      </w:r>
    </w:p>
    <w:p w:rsidR="00A67E53" w:rsidRDefault="00CB68AA" w:rsidP="00CB68AA">
      <w:pPr>
        <w:pStyle w:val="NoSpacing"/>
        <w:numPr>
          <w:ilvl w:val="0"/>
          <w:numId w:val="3"/>
        </w:numPr>
      </w:pPr>
      <w:r>
        <w:t xml:space="preserve">To highlight the major points from the original text 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T</w:t>
      </w:r>
      <w:r w:rsidR="00CB68AA">
        <w:t xml:space="preserve">o </w:t>
      </w:r>
      <w:r>
        <w:t>organize information presented in the text</w:t>
      </w:r>
    </w:p>
    <w:p w:rsidR="00CB68AA" w:rsidRDefault="00A67E53" w:rsidP="00CB68AA">
      <w:pPr>
        <w:pStyle w:val="NoSpacing"/>
        <w:numPr>
          <w:ilvl w:val="0"/>
          <w:numId w:val="3"/>
        </w:numPr>
      </w:pPr>
      <w:r>
        <w:t>To prepare for discussion of, writing about, or presentation of the text</w:t>
      </w:r>
    </w:p>
    <w:p w:rsidR="00CB68AA" w:rsidRDefault="00CB68AA" w:rsidP="00CB68AA">
      <w:pPr>
        <w:pStyle w:val="NoSpacing"/>
      </w:pPr>
    </w:p>
    <w:p w:rsidR="00CB68AA" w:rsidRPr="00CB68AA" w:rsidRDefault="00CB68AA" w:rsidP="00CB68AA">
      <w:pPr>
        <w:pStyle w:val="NoSpacing"/>
        <w:rPr>
          <w:b/>
          <w:i/>
        </w:rPr>
      </w:pPr>
      <w:r w:rsidRPr="00CB68AA">
        <w:rPr>
          <w:b/>
          <w:i/>
        </w:rPr>
        <w:t>When is it done?</w:t>
      </w:r>
    </w:p>
    <w:p w:rsidR="00CB68AA" w:rsidRDefault="00A67E53" w:rsidP="00CB68AA">
      <w:pPr>
        <w:pStyle w:val="NoSpacing"/>
        <w:numPr>
          <w:ilvl w:val="0"/>
          <w:numId w:val="4"/>
        </w:numPr>
      </w:pPr>
      <w:r>
        <w:t>After taking</w:t>
      </w:r>
      <w:r w:rsidR="00CB68AA">
        <w:t xml:space="preserve"> notes, </w:t>
      </w:r>
      <w:r>
        <w:t>to identify main ideas and key words from the lesson</w:t>
      </w:r>
    </w:p>
    <w:p w:rsidR="00CB68AA" w:rsidRDefault="00A67E53" w:rsidP="00CB68AA">
      <w:pPr>
        <w:pStyle w:val="NoSpacing"/>
        <w:numPr>
          <w:ilvl w:val="0"/>
          <w:numId w:val="4"/>
        </w:numPr>
      </w:pPr>
      <w:r>
        <w:t>During a test or assignment to understand directions</w:t>
      </w:r>
    </w:p>
    <w:p w:rsidR="00CB68AA" w:rsidRDefault="00A67E53" w:rsidP="00CB68AA">
      <w:pPr>
        <w:pStyle w:val="NoSpacing"/>
        <w:numPr>
          <w:ilvl w:val="0"/>
          <w:numId w:val="4"/>
        </w:numPr>
      </w:pPr>
      <w:r>
        <w:t xml:space="preserve">While </w:t>
      </w:r>
      <w:r w:rsidR="00CB68AA">
        <w:t>reading a section or chapter of text (</w:t>
      </w:r>
      <w:r w:rsidR="00CB68AA" w:rsidRPr="00CB68AA">
        <w:rPr>
          <w:b/>
          <w:i/>
        </w:rPr>
        <w:t xml:space="preserve">blends well with </w:t>
      </w:r>
      <w:r>
        <w:rPr>
          <w:b/>
          <w:i/>
        </w:rPr>
        <w:t>summary writing!</w:t>
      </w:r>
      <w:r w:rsidRPr="00A67E53">
        <w:rPr>
          <w:i/>
        </w:rPr>
        <w:t>)</w:t>
      </w:r>
    </w:p>
    <w:p w:rsidR="00CB68AA" w:rsidRDefault="00A67E53" w:rsidP="00CB68AA">
      <w:pPr>
        <w:pStyle w:val="NoSpacing"/>
        <w:numPr>
          <w:ilvl w:val="0"/>
          <w:numId w:val="4"/>
        </w:numPr>
      </w:pPr>
      <w:r>
        <w:t xml:space="preserve">While </w:t>
      </w:r>
      <w:r w:rsidR="00CB68AA">
        <w:t>reading an article or current event</w:t>
      </w:r>
    </w:p>
    <w:p w:rsidR="00CB68AA" w:rsidRDefault="00A67E53" w:rsidP="00CB68AA">
      <w:pPr>
        <w:pStyle w:val="NoSpacing"/>
        <w:numPr>
          <w:ilvl w:val="0"/>
          <w:numId w:val="4"/>
        </w:numPr>
      </w:pPr>
      <w:r>
        <w:t>While reading</w:t>
      </w:r>
      <w:r w:rsidR="00CB68AA">
        <w:t xml:space="preserve"> a text to prepare for Socratic Seminar or Philosophical Chairs Debate</w:t>
      </w:r>
    </w:p>
    <w:p w:rsidR="00CB68AA" w:rsidRDefault="00CB68AA" w:rsidP="00CB68AA">
      <w:pPr>
        <w:pStyle w:val="NoSpacing"/>
        <w:numPr>
          <w:ilvl w:val="0"/>
          <w:numId w:val="4"/>
        </w:numPr>
      </w:pPr>
      <w:r>
        <w:t xml:space="preserve">As the </w:t>
      </w:r>
      <w:r w:rsidR="009872ED">
        <w:t>“</w:t>
      </w:r>
      <w:r w:rsidR="009872ED" w:rsidRPr="009872ED">
        <w:rPr>
          <w:b/>
          <w:i/>
        </w:rPr>
        <w:t>K</w:t>
      </w:r>
      <w:r w:rsidR="009872ED">
        <w:t xml:space="preserve">” and/or </w:t>
      </w:r>
      <w:r>
        <w:t>“</w:t>
      </w:r>
      <w:r w:rsidR="00A67E53">
        <w:rPr>
          <w:b/>
          <w:i/>
        </w:rPr>
        <w:t>W</w:t>
      </w:r>
      <w:r>
        <w:t>” column in a KWL activity</w:t>
      </w:r>
    </w:p>
    <w:p w:rsidR="00CB68AA" w:rsidRDefault="00CB68AA" w:rsidP="00CB68AA">
      <w:pPr>
        <w:pStyle w:val="NoSpacing"/>
      </w:pPr>
    </w:p>
    <w:p w:rsidR="00CB68AA" w:rsidRPr="007A07E8" w:rsidRDefault="00CB68AA" w:rsidP="00CB68AA">
      <w:pPr>
        <w:pStyle w:val="NoSpacing"/>
        <w:rPr>
          <w:b/>
          <w:i/>
          <w:sz w:val="24"/>
          <w:szCs w:val="24"/>
        </w:rPr>
      </w:pPr>
      <w:r w:rsidRPr="007A07E8">
        <w:rPr>
          <w:b/>
          <w:i/>
          <w:sz w:val="24"/>
          <w:szCs w:val="24"/>
        </w:rPr>
        <w:t>How is it done?</w:t>
      </w:r>
    </w:p>
    <w:p w:rsidR="00CB68AA" w:rsidRPr="007A07E8" w:rsidRDefault="007A07E8" w:rsidP="009872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 xml:space="preserve">To </w:t>
      </w:r>
      <w:r w:rsidR="009872ED" w:rsidRPr="007A07E8">
        <w:rPr>
          <w:b/>
          <w:sz w:val="24"/>
          <w:szCs w:val="24"/>
        </w:rPr>
        <w:t>read</w:t>
      </w:r>
      <w:r w:rsidRPr="007A07E8">
        <w:rPr>
          <w:b/>
          <w:sz w:val="24"/>
          <w:szCs w:val="24"/>
        </w:rPr>
        <w:t xml:space="preserve"> critically</w:t>
      </w:r>
      <w:r w:rsidR="009872ED" w:rsidRPr="007A07E8">
        <w:rPr>
          <w:b/>
          <w:sz w:val="24"/>
          <w:szCs w:val="24"/>
        </w:rPr>
        <w:t>:</w:t>
      </w:r>
    </w:p>
    <w:p w:rsidR="00CB68AA" w:rsidRPr="007A07E8" w:rsidRDefault="009872ED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Identify the Purpose for reading</w:t>
      </w:r>
    </w:p>
    <w:p w:rsidR="00CB68AA" w:rsidRPr="007A07E8" w:rsidRDefault="009872ED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Pre-read for vocabulary and skim the text</w:t>
      </w:r>
    </w:p>
    <w:p w:rsidR="00CB68AA" w:rsidRPr="007A07E8" w:rsidRDefault="009872ED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Mark the text</w:t>
      </w:r>
      <w:r w:rsidR="00CB68AA" w:rsidRPr="007A07E8">
        <w:rPr>
          <w:b/>
          <w:sz w:val="24"/>
          <w:szCs w:val="24"/>
        </w:rPr>
        <w:t xml:space="preserve"> </w:t>
      </w:r>
    </w:p>
    <w:p w:rsidR="009872ED" w:rsidRPr="007A07E8" w:rsidRDefault="009872ED" w:rsidP="009872ED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Number the paragraphs</w:t>
      </w:r>
    </w:p>
    <w:p w:rsidR="009872ED" w:rsidRPr="007A07E8" w:rsidRDefault="009872ED" w:rsidP="009872ED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Underline main ideas</w:t>
      </w:r>
    </w:p>
    <w:p w:rsidR="009872ED" w:rsidRPr="007A07E8" w:rsidRDefault="009872ED" w:rsidP="009872ED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Circle key words that the author chose to emphasize a point</w:t>
      </w:r>
    </w:p>
    <w:p w:rsidR="009872ED" w:rsidRPr="007A07E8" w:rsidRDefault="009872ED" w:rsidP="009872ED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Write an asterisk beside unknown vocabulary (define in the bottom margin)</w:t>
      </w:r>
    </w:p>
    <w:p w:rsidR="00CB68AA" w:rsidRPr="007A07E8" w:rsidRDefault="009872ED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>Summarize chunks of text in the margins</w:t>
      </w:r>
    </w:p>
    <w:p w:rsidR="009872ED" w:rsidRPr="007A07E8" w:rsidRDefault="009872ED" w:rsidP="00CB68A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A07E8">
        <w:rPr>
          <w:b/>
          <w:sz w:val="24"/>
          <w:szCs w:val="24"/>
        </w:rPr>
        <w:t xml:space="preserve">Extend beyond the text </w:t>
      </w:r>
      <w:r w:rsidRPr="007A07E8">
        <w:rPr>
          <w:b/>
          <w:sz w:val="24"/>
          <w:szCs w:val="24"/>
        </w:rPr>
        <w:br/>
        <w:t>(write an essay or response, rhetorical précis, chart the text, have a discussion, debate, or Socratic Seminar)</w:t>
      </w:r>
      <w:bookmarkStart w:id="0" w:name="_GoBack"/>
      <w:bookmarkEnd w:id="0"/>
    </w:p>
    <w:sectPr w:rsidR="009872ED" w:rsidRPr="007A07E8" w:rsidSect="009872ED">
      <w:pgSz w:w="12240" w:h="15840"/>
      <w:pgMar w:top="5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3A" w:rsidRDefault="005D7F3A" w:rsidP="00CB68AA">
      <w:pPr>
        <w:spacing w:after="0" w:line="240" w:lineRule="auto"/>
      </w:pPr>
      <w:r>
        <w:separator/>
      </w:r>
    </w:p>
  </w:endnote>
  <w:endnote w:type="continuationSeparator" w:id="0">
    <w:p w:rsidR="005D7F3A" w:rsidRDefault="005D7F3A" w:rsidP="00C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3A" w:rsidRDefault="005D7F3A" w:rsidP="00CB68AA">
      <w:pPr>
        <w:spacing w:after="0" w:line="240" w:lineRule="auto"/>
      </w:pPr>
      <w:r>
        <w:separator/>
      </w:r>
    </w:p>
  </w:footnote>
  <w:footnote w:type="continuationSeparator" w:id="0">
    <w:p w:rsidR="005D7F3A" w:rsidRDefault="005D7F3A" w:rsidP="00CB68AA">
      <w:pPr>
        <w:spacing w:after="0" w:line="240" w:lineRule="auto"/>
      </w:pPr>
      <w:r>
        <w:continuationSeparator/>
      </w:r>
    </w:p>
  </w:footnote>
  <w:footnote w:id="1">
    <w:p w:rsidR="00C37DC1" w:rsidRPr="009872ED" w:rsidRDefault="00CB68AA" w:rsidP="00C37DC1">
      <w:pPr>
        <w:pStyle w:val="NoSpacing"/>
        <w:tabs>
          <w:tab w:val="left" w:pos="180"/>
        </w:tabs>
        <w:rPr>
          <w:sz w:val="14"/>
          <w:szCs w:val="14"/>
        </w:rPr>
      </w:pPr>
      <w:r w:rsidRPr="009872ED">
        <w:rPr>
          <w:rStyle w:val="FootnoteReference"/>
          <w:sz w:val="14"/>
          <w:szCs w:val="14"/>
        </w:rPr>
        <w:footnoteRef/>
      </w:r>
      <w:r w:rsidRPr="009872ED">
        <w:rPr>
          <w:sz w:val="14"/>
          <w:szCs w:val="14"/>
        </w:rPr>
        <w:t xml:space="preserve"> </w:t>
      </w:r>
      <w:r w:rsidRPr="009872ED">
        <w:rPr>
          <w:sz w:val="14"/>
          <w:szCs w:val="14"/>
        </w:rPr>
        <w:tab/>
      </w:r>
      <w:r w:rsidR="00C37DC1" w:rsidRPr="009872ED">
        <w:rPr>
          <w:sz w:val="14"/>
          <w:szCs w:val="14"/>
        </w:rPr>
        <w:t xml:space="preserve">Atwell, Nancy. </w:t>
      </w:r>
      <w:proofErr w:type="gramStart"/>
      <w:r w:rsidR="00C37DC1" w:rsidRPr="009872ED">
        <w:rPr>
          <w:sz w:val="14"/>
          <w:szCs w:val="14"/>
        </w:rPr>
        <w:t>Lessons That Change Writers.</w:t>
      </w:r>
      <w:proofErr w:type="gramEnd"/>
      <w:r w:rsidR="00C37DC1" w:rsidRPr="009872ED">
        <w:rPr>
          <w:sz w:val="14"/>
          <w:szCs w:val="14"/>
        </w:rPr>
        <w:t xml:space="preserve"> Portsmouth: Heinemann 2005.</w:t>
      </w:r>
    </w:p>
    <w:p w:rsidR="00CB68AA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spellStart"/>
      <w:r w:rsidRPr="009872ED">
        <w:rPr>
          <w:sz w:val="14"/>
          <w:szCs w:val="14"/>
        </w:rPr>
        <w:t>Claggett</w:t>
      </w:r>
      <w:proofErr w:type="spellEnd"/>
      <w:r w:rsidRPr="009872ED">
        <w:rPr>
          <w:sz w:val="14"/>
          <w:szCs w:val="14"/>
        </w:rPr>
        <w:t xml:space="preserve">, Fran. </w:t>
      </w:r>
      <w:proofErr w:type="gramStart"/>
      <w:r w:rsidRPr="009872ED">
        <w:rPr>
          <w:sz w:val="14"/>
          <w:szCs w:val="14"/>
        </w:rPr>
        <w:t>Measure of Success.</w:t>
      </w:r>
      <w:proofErr w:type="gramEnd"/>
      <w:r w:rsidRPr="009872ED">
        <w:rPr>
          <w:sz w:val="14"/>
          <w:szCs w:val="14"/>
        </w:rPr>
        <w:t xml:space="preserve"> Portsmouth: Heinemann, 1996.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 xml:space="preserve">Graham, Steve and </w:t>
      </w:r>
      <w:proofErr w:type="spellStart"/>
      <w:r w:rsidRPr="009872ED">
        <w:rPr>
          <w:sz w:val="14"/>
          <w:szCs w:val="14"/>
        </w:rPr>
        <w:t>Perin</w:t>
      </w:r>
      <w:proofErr w:type="spellEnd"/>
      <w:r w:rsidRPr="009872ED">
        <w:rPr>
          <w:sz w:val="14"/>
          <w:szCs w:val="14"/>
        </w:rPr>
        <w:t>, Dolores.</w:t>
      </w:r>
      <w:proofErr w:type="gramEnd"/>
      <w:r w:rsidRPr="009872ED">
        <w:rPr>
          <w:sz w:val="14"/>
          <w:szCs w:val="14"/>
        </w:rPr>
        <w:t xml:space="preserve"> </w:t>
      </w:r>
      <w:proofErr w:type="gramStart"/>
      <w:r w:rsidRPr="009872ED">
        <w:rPr>
          <w:sz w:val="14"/>
          <w:szCs w:val="14"/>
        </w:rPr>
        <w:t>Writing Next: A Report to the Carnegie Corporation of New York.</w:t>
      </w:r>
      <w:proofErr w:type="gramEnd"/>
      <w:r w:rsidRPr="009872ED">
        <w:rPr>
          <w:sz w:val="14"/>
          <w:szCs w:val="14"/>
        </w:rPr>
        <w:t xml:space="preserve"> </w:t>
      </w:r>
      <w:proofErr w:type="gramStart"/>
      <w:r w:rsidRPr="009872ED">
        <w:rPr>
          <w:sz w:val="14"/>
          <w:szCs w:val="14"/>
        </w:rPr>
        <w:t>Alliance for Excellent Education, 2006.</w:t>
      </w:r>
      <w:proofErr w:type="gramEnd"/>
      <w:r w:rsidRPr="009872ED">
        <w:rPr>
          <w:sz w:val="14"/>
          <w:szCs w:val="14"/>
        </w:rPr>
        <w:t xml:space="preserve"> 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>Graves, Donald and Kittle, Penny.</w:t>
      </w:r>
      <w:proofErr w:type="gramEnd"/>
      <w:r w:rsidRPr="009872ED">
        <w:rPr>
          <w:sz w:val="14"/>
          <w:szCs w:val="14"/>
        </w:rPr>
        <w:t xml:space="preserve"> Inside Writing: How to Teach the Details of Craft. Portsmouth: Heinemann, 2005.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 xml:space="preserve">Harvey, Stephanie and </w:t>
      </w:r>
      <w:proofErr w:type="spellStart"/>
      <w:r w:rsidRPr="009872ED">
        <w:rPr>
          <w:sz w:val="14"/>
          <w:szCs w:val="14"/>
        </w:rPr>
        <w:t>Goudvis</w:t>
      </w:r>
      <w:proofErr w:type="spellEnd"/>
      <w:r w:rsidRPr="009872ED">
        <w:rPr>
          <w:sz w:val="14"/>
          <w:szCs w:val="14"/>
        </w:rPr>
        <w:t>, Anne.</w:t>
      </w:r>
      <w:proofErr w:type="gramEnd"/>
      <w:r w:rsidRPr="009872ED">
        <w:rPr>
          <w:sz w:val="14"/>
          <w:szCs w:val="14"/>
        </w:rPr>
        <w:t xml:space="preserve"> </w:t>
      </w:r>
      <w:proofErr w:type="gramStart"/>
      <w:r w:rsidRPr="009872ED">
        <w:rPr>
          <w:sz w:val="14"/>
          <w:szCs w:val="14"/>
        </w:rPr>
        <w:t>Strategies That Work.</w:t>
      </w:r>
      <w:proofErr w:type="gramEnd"/>
      <w:r w:rsidRPr="009872ED">
        <w:rPr>
          <w:sz w:val="14"/>
          <w:szCs w:val="14"/>
        </w:rPr>
        <w:t xml:space="preserve"> Portland: </w:t>
      </w:r>
      <w:proofErr w:type="spellStart"/>
      <w:r w:rsidRPr="009872ED">
        <w:rPr>
          <w:sz w:val="14"/>
          <w:szCs w:val="14"/>
        </w:rPr>
        <w:t>Stenhouse</w:t>
      </w:r>
      <w:proofErr w:type="spellEnd"/>
      <w:r w:rsidRPr="009872ED">
        <w:rPr>
          <w:sz w:val="14"/>
          <w:szCs w:val="14"/>
        </w:rPr>
        <w:t>, 2000.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>Hillocks, George and Smith, Michael W. Teaching Writing as Reflective Practice.</w:t>
      </w:r>
      <w:proofErr w:type="gramEnd"/>
      <w:r w:rsidRPr="009872ED">
        <w:rPr>
          <w:sz w:val="14"/>
          <w:szCs w:val="14"/>
        </w:rPr>
        <w:t xml:space="preserve"> Columbia, NY: Teachers College Press, 1995.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spellStart"/>
      <w:r w:rsidRPr="009872ED">
        <w:rPr>
          <w:sz w:val="14"/>
          <w:szCs w:val="14"/>
        </w:rPr>
        <w:t>Marzano</w:t>
      </w:r>
      <w:proofErr w:type="spellEnd"/>
      <w:r w:rsidRPr="009872ED">
        <w:rPr>
          <w:sz w:val="14"/>
          <w:szCs w:val="14"/>
        </w:rPr>
        <w:t xml:space="preserve">, Robert, </w:t>
      </w:r>
      <w:proofErr w:type="gramStart"/>
      <w:r w:rsidRPr="009872ED">
        <w:rPr>
          <w:sz w:val="14"/>
          <w:szCs w:val="14"/>
        </w:rPr>
        <w:t>et</w:t>
      </w:r>
      <w:proofErr w:type="gramEnd"/>
      <w:r w:rsidRPr="009872ED">
        <w:rPr>
          <w:sz w:val="14"/>
          <w:szCs w:val="14"/>
        </w:rPr>
        <w:t xml:space="preserve">. </w:t>
      </w:r>
      <w:proofErr w:type="gramStart"/>
      <w:r w:rsidRPr="009872ED">
        <w:rPr>
          <w:sz w:val="14"/>
          <w:szCs w:val="14"/>
        </w:rPr>
        <w:t>al</w:t>
      </w:r>
      <w:proofErr w:type="gramEnd"/>
      <w:r w:rsidRPr="009872ED">
        <w:rPr>
          <w:sz w:val="14"/>
          <w:szCs w:val="14"/>
        </w:rPr>
        <w:t>. Classroom Instruction That Works. Alexandria, ASCD, 2001.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>National Writing Project and Nagin, Carl.</w:t>
      </w:r>
      <w:proofErr w:type="gramEnd"/>
      <w:r w:rsidRPr="009872ED">
        <w:rPr>
          <w:sz w:val="14"/>
          <w:szCs w:val="14"/>
        </w:rPr>
        <w:t xml:space="preserve"> Because Writing Matters: Improving Student Writing in Our Schools. San Francisco: </w:t>
      </w:r>
      <w:proofErr w:type="spellStart"/>
      <w:r w:rsidRPr="009872ED">
        <w:rPr>
          <w:sz w:val="14"/>
          <w:szCs w:val="14"/>
        </w:rPr>
        <w:t>Jossey</w:t>
      </w:r>
      <w:proofErr w:type="spellEnd"/>
      <w:r w:rsidRPr="009872ED">
        <w:rPr>
          <w:sz w:val="14"/>
          <w:szCs w:val="14"/>
        </w:rPr>
        <w:t>-Bass, 2003.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spellStart"/>
      <w:r w:rsidRPr="009872ED">
        <w:rPr>
          <w:sz w:val="14"/>
          <w:szCs w:val="14"/>
        </w:rPr>
        <w:t>Tovani</w:t>
      </w:r>
      <w:proofErr w:type="spellEnd"/>
      <w:r w:rsidRPr="009872ED">
        <w:rPr>
          <w:sz w:val="14"/>
          <w:szCs w:val="14"/>
        </w:rPr>
        <w:t xml:space="preserve">, </w:t>
      </w:r>
      <w:proofErr w:type="spellStart"/>
      <w:r w:rsidRPr="009872ED">
        <w:rPr>
          <w:sz w:val="14"/>
          <w:szCs w:val="14"/>
        </w:rPr>
        <w:t>Cris</w:t>
      </w:r>
      <w:proofErr w:type="spellEnd"/>
      <w:r w:rsidRPr="009872ED">
        <w:rPr>
          <w:sz w:val="14"/>
          <w:szCs w:val="14"/>
        </w:rPr>
        <w:t xml:space="preserve">. I Read It but I Don’t Get It. Portland: </w:t>
      </w:r>
      <w:proofErr w:type="spellStart"/>
      <w:r w:rsidRPr="009872ED">
        <w:rPr>
          <w:sz w:val="14"/>
          <w:szCs w:val="14"/>
        </w:rPr>
        <w:t>Stenhouse</w:t>
      </w:r>
      <w:proofErr w:type="spellEnd"/>
      <w:r w:rsidRPr="009872ED">
        <w:rPr>
          <w:sz w:val="14"/>
          <w:szCs w:val="14"/>
        </w:rPr>
        <w:t>, 2000.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r w:rsidRPr="009872ED">
        <w:rPr>
          <w:sz w:val="14"/>
          <w:szCs w:val="14"/>
        </w:rPr>
        <w:t xml:space="preserve">Do I Really Have to Teach Reading? Portland: </w:t>
      </w:r>
      <w:proofErr w:type="spellStart"/>
      <w:r w:rsidRPr="009872ED">
        <w:rPr>
          <w:sz w:val="14"/>
          <w:szCs w:val="14"/>
        </w:rPr>
        <w:t>Stenhouse</w:t>
      </w:r>
      <w:proofErr w:type="spellEnd"/>
      <w:r w:rsidRPr="009872ED">
        <w:rPr>
          <w:sz w:val="14"/>
          <w:szCs w:val="14"/>
        </w:rPr>
        <w:t>, 2004.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proofErr w:type="gramStart"/>
      <w:r w:rsidRPr="009872ED">
        <w:rPr>
          <w:sz w:val="14"/>
          <w:szCs w:val="14"/>
        </w:rPr>
        <w:t>Wood Ray, Katie.</w:t>
      </w:r>
      <w:proofErr w:type="gramEnd"/>
      <w:r w:rsidRPr="009872ED">
        <w:rPr>
          <w:sz w:val="14"/>
          <w:szCs w:val="14"/>
        </w:rPr>
        <w:t xml:space="preserve"> </w:t>
      </w:r>
      <w:proofErr w:type="gramStart"/>
      <w:r w:rsidRPr="009872ED">
        <w:rPr>
          <w:sz w:val="14"/>
          <w:szCs w:val="14"/>
        </w:rPr>
        <w:t>Study Driven.</w:t>
      </w:r>
      <w:proofErr w:type="gramEnd"/>
      <w:r w:rsidRPr="009872ED">
        <w:rPr>
          <w:sz w:val="14"/>
          <w:szCs w:val="14"/>
        </w:rPr>
        <w:t xml:space="preserve"> Portsmouth: Heinemann. 2006.</w:t>
      </w:r>
    </w:p>
    <w:p w:rsidR="00C37DC1" w:rsidRPr="009872ED" w:rsidRDefault="00C37DC1" w:rsidP="00C37DC1">
      <w:pPr>
        <w:pStyle w:val="NoSpacing"/>
        <w:tabs>
          <w:tab w:val="left" w:pos="180"/>
        </w:tabs>
        <w:ind w:left="180" w:right="-360"/>
        <w:rPr>
          <w:sz w:val="14"/>
          <w:szCs w:val="14"/>
        </w:rPr>
      </w:pPr>
      <w:r w:rsidRPr="009872ED">
        <w:rPr>
          <w:sz w:val="14"/>
          <w:szCs w:val="14"/>
        </w:rPr>
        <w:t xml:space="preserve">Anderson, Jeff. </w:t>
      </w:r>
      <w:proofErr w:type="gramStart"/>
      <w:r w:rsidRPr="009872ED">
        <w:rPr>
          <w:sz w:val="14"/>
          <w:szCs w:val="14"/>
        </w:rPr>
        <w:t>Mechanically Inclined.</w:t>
      </w:r>
      <w:proofErr w:type="gramEnd"/>
      <w:r w:rsidRPr="009872ED">
        <w:rPr>
          <w:sz w:val="14"/>
          <w:szCs w:val="14"/>
        </w:rPr>
        <w:t xml:space="preserve"> Portland: </w:t>
      </w:r>
      <w:proofErr w:type="spellStart"/>
      <w:r w:rsidRPr="009872ED">
        <w:rPr>
          <w:sz w:val="14"/>
          <w:szCs w:val="14"/>
        </w:rPr>
        <w:t>Stenhouse</w:t>
      </w:r>
      <w:proofErr w:type="spellEnd"/>
      <w:r w:rsidRPr="009872ED">
        <w:rPr>
          <w:sz w:val="14"/>
          <w:szCs w:val="14"/>
        </w:rPr>
        <w:t>, 2005.</w:t>
      </w:r>
    </w:p>
    <w:p w:rsidR="00C37DC1" w:rsidRPr="00C37DC1" w:rsidRDefault="00C37DC1" w:rsidP="00C37DC1">
      <w:pPr>
        <w:pStyle w:val="NoSpacing"/>
        <w:tabs>
          <w:tab w:val="left" w:pos="180"/>
        </w:tabs>
        <w:ind w:left="180" w:right="-360"/>
        <w:rPr>
          <w:sz w:val="16"/>
        </w:rPr>
      </w:pPr>
      <w:proofErr w:type="spellStart"/>
      <w:r w:rsidRPr="009872ED">
        <w:rPr>
          <w:sz w:val="14"/>
          <w:szCs w:val="14"/>
        </w:rPr>
        <w:t>Overmeyer</w:t>
      </w:r>
      <w:proofErr w:type="spellEnd"/>
      <w:r w:rsidRPr="009872ED">
        <w:rPr>
          <w:sz w:val="14"/>
          <w:szCs w:val="14"/>
        </w:rPr>
        <w:t xml:space="preserve">, Mark. </w:t>
      </w:r>
      <w:proofErr w:type="gramStart"/>
      <w:r w:rsidRPr="009872ED">
        <w:rPr>
          <w:sz w:val="14"/>
          <w:szCs w:val="14"/>
        </w:rPr>
        <w:t>When Writing Workshop Isn’t Working.</w:t>
      </w:r>
      <w:proofErr w:type="gramEnd"/>
      <w:r w:rsidRPr="009872ED">
        <w:rPr>
          <w:sz w:val="14"/>
          <w:szCs w:val="14"/>
        </w:rPr>
        <w:t xml:space="preserve"> Portland: </w:t>
      </w:r>
      <w:proofErr w:type="spellStart"/>
      <w:r w:rsidRPr="009872ED">
        <w:rPr>
          <w:sz w:val="14"/>
          <w:szCs w:val="14"/>
        </w:rPr>
        <w:t>Stenhouse</w:t>
      </w:r>
      <w:proofErr w:type="spellEnd"/>
      <w:r w:rsidRPr="009872ED">
        <w:rPr>
          <w:sz w:val="14"/>
          <w:szCs w:val="14"/>
        </w:rPr>
        <w:t>,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EC7"/>
    <w:multiLevelType w:val="hybridMultilevel"/>
    <w:tmpl w:val="3D208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043FE"/>
    <w:multiLevelType w:val="hybridMultilevel"/>
    <w:tmpl w:val="4A92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7B7"/>
    <w:multiLevelType w:val="hybridMultilevel"/>
    <w:tmpl w:val="C22CAD92"/>
    <w:lvl w:ilvl="0" w:tplc="0A7810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5252A"/>
    <w:multiLevelType w:val="hybridMultilevel"/>
    <w:tmpl w:val="03341C68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F86"/>
    <w:multiLevelType w:val="hybridMultilevel"/>
    <w:tmpl w:val="1DA81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4A0A"/>
    <w:multiLevelType w:val="hybridMultilevel"/>
    <w:tmpl w:val="3BC2FA0A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A12A1"/>
    <w:multiLevelType w:val="hybridMultilevel"/>
    <w:tmpl w:val="56C4FE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E835C64"/>
    <w:multiLevelType w:val="hybridMultilevel"/>
    <w:tmpl w:val="7556B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33B15"/>
    <w:multiLevelType w:val="hybridMultilevel"/>
    <w:tmpl w:val="C71E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2BF8"/>
    <w:multiLevelType w:val="hybridMultilevel"/>
    <w:tmpl w:val="96C8160E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58C4"/>
    <w:multiLevelType w:val="hybridMultilevel"/>
    <w:tmpl w:val="25966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D2383"/>
    <w:multiLevelType w:val="hybridMultilevel"/>
    <w:tmpl w:val="2C728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45F14"/>
    <w:multiLevelType w:val="hybridMultilevel"/>
    <w:tmpl w:val="1CC2C3BE"/>
    <w:lvl w:ilvl="0" w:tplc="0A7810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0687"/>
    <w:multiLevelType w:val="hybridMultilevel"/>
    <w:tmpl w:val="9E1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66F6"/>
    <w:multiLevelType w:val="hybridMultilevel"/>
    <w:tmpl w:val="96B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AF"/>
    <w:rsid w:val="00046840"/>
    <w:rsid w:val="00094F14"/>
    <w:rsid w:val="00131622"/>
    <w:rsid w:val="001512CD"/>
    <w:rsid w:val="001D0DD9"/>
    <w:rsid w:val="002B7A69"/>
    <w:rsid w:val="002D733B"/>
    <w:rsid w:val="00356CF3"/>
    <w:rsid w:val="00362B37"/>
    <w:rsid w:val="00452154"/>
    <w:rsid w:val="004638EE"/>
    <w:rsid w:val="005418CD"/>
    <w:rsid w:val="00543853"/>
    <w:rsid w:val="00576CB0"/>
    <w:rsid w:val="005D7F3A"/>
    <w:rsid w:val="007A07E8"/>
    <w:rsid w:val="00841D44"/>
    <w:rsid w:val="008A54EF"/>
    <w:rsid w:val="008B1A32"/>
    <w:rsid w:val="00901EB1"/>
    <w:rsid w:val="00914663"/>
    <w:rsid w:val="009872ED"/>
    <w:rsid w:val="00A01EAF"/>
    <w:rsid w:val="00A11F5D"/>
    <w:rsid w:val="00A67E53"/>
    <w:rsid w:val="00B35E5C"/>
    <w:rsid w:val="00C0768B"/>
    <w:rsid w:val="00C37DC1"/>
    <w:rsid w:val="00C43288"/>
    <w:rsid w:val="00CB68AA"/>
    <w:rsid w:val="00DC455D"/>
    <w:rsid w:val="00DE1929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E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8AA"/>
    <w:pPr>
      <w:ind w:left="720"/>
      <w:contextualSpacing/>
    </w:pPr>
  </w:style>
  <w:style w:type="table" w:styleId="TableGrid">
    <w:name w:val="Table Grid"/>
    <w:basedOn w:val="TableNormal"/>
    <w:uiPriority w:val="59"/>
    <w:rsid w:val="00CB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E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8AA"/>
    <w:pPr>
      <w:ind w:left="720"/>
      <w:contextualSpacing/>
    </w:pPr>
  </w:style>
  <w:style w:type="table" w:styleId="TableGrid">
    <w:name w:val="Table Grid"/>
    <w:basedOn w:val="TableNormal"/>
    <w:uiPriority w:val="59"/>
    <w:rsid w:val="00CB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384F-B8E1-4AA6-8ABC-454FF4DA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cp:lastPrinted>2014-05-21T10:45:00Z</cp:lastPrinted>
  <dcterms:created xsi:type="dcterms:W3CDTF">2015-01-05T10:15:00Z</dcterms:created>
  <dcterms:modified xsi:type="dcterms:W3CDTF">2015-01-05T10:26:00Z</dcterms:modified>
</cp:coreProperties>
</file>