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F02" w:rsidRDefault="00406CF1">
      <w:pPr>
        <w:spacing w:line="270" w:lineRule="auto"/>
        <w:jc w:val="center"/>
      </w:pPr>
      <w:bookmarkStart w:id="0" w:name="_GoBack"/>
      <w:bookmarkEnd w:id="0"/>
      <w:r>
        <w:rPr>
          <w:b/>
          <w:sz w:val="24"/>
          <w:highlight w:val="white"/>
        </w:rPr>
        <w:t>VOCABULARY - Building a foundation for learning</w:t>
      </w:r>
    </w:p>
    <w:p w:rsidR="00E02F02" w:rsidRDefault="00406CF1">
      <w:pPr>
        <w:spacing w:line="270" w:lineRule="auto"/>
      </w:pPr>
      <w:r>
        <w:rPr>
          <w:b/>
          <w:i/>
          <w:color w:val="5040AE"/>
          <w:sz w:val="24"/>
          <w:highlight w:val="white"/>
        </w:rPr>
        <w:t>Astronomy: Earth &amp; Space Systems</w:t>
      </w:r>
    </w:p>
    <w:p w:rsidR="00E02F02" w:rsidRDefault="00406CF1">
      <w:r>
        <w:rPr>
          <w:i/>
          <w:color w:val="5040AE"/>
          <w:sz w:val="24"/>
          <w:highlight w:val="white"/>
        </w:rPr>
        <w:t>The student will demonstrate and understanding of the characteristics, structure, and predictable motions of celestial bodies.</w:t>
      </w:r>
    </w:p>
    <w:p w:rsidR="00E02F02" w:rsidRDefault="00E02F02">
      <w:pPr>
        <w:jc w:val="center"/>
      </w:pPr>
    </w:p>
    <w:p w:rsidR="00E02F02" w:rsidRDefault="00406CF1">
      <w:pPr>
        <w:jc w:val="center"/>
      </w:pPr>
      <w:hyperlink r:id="rId6">
        <w:r>
          <w:rPr>
            <w:color w:val="1155CC"/>
            <w:sz w:val="24"/>
            <w:highlight w:val="white"/>
            <w:u w:val="single"/>
          </w:rPr>
          <w:t>http://dictionary.reference.com/science/</w:t>
        </w:r>
      </w:hyperlink>
    </w:p>
    <w:p w:rsidR="00E02F02" w:rsidRDefault="00406CF1">
      <w:pPr>
        <w:jc w:val="center"/>
      </w:pPr>
      <w:r>
        <w:rPr>
          <w:i/>
          <w:color w:val="5040AE"/>
          <w:sz w:val="24"/>
          <w:highlight w:val="white"/>
        </w:rPr>
        <w:t>Glencoe Science (Level Blue)</w:t>
      </w:r>
      <w:r>
        <w:rPr>
          <w:color w:val="5040AE"/>
          <w:sz w:val="24"/>
          <w:highlight w:val="white"/>
        </w:rPr>
        <w:t>:  Chapters 1 -  5 (pages 40 - 169)</w:t>
      </w:r>
    </w:p>
    <w:p w:rsidR="00E02F02" w:rsidRDefault="00406CF1">
      <w:pPr>
        <w:jc w:val="center"/>
      </w:pPr>
      <w:r>
        <w:rPr>
          <w:i/>
          <w:color w:val="5040AE"/>
          <w:sz w:val="24"/>
          <w:highlight w:val="white"/>
        </w:rPr>
        <w:t xml:space="preserve">ScienceSaurus:  </w:t>
      </w:r>
      <w:r>
        <w:rPr>
          <w:color w:val="5040AE"/>
          <w:sz w:val="24"/>
          <w:highlight w:val="white"/>
        </w:rPr>
        <w:t>Astronomy, pages 231 - 248</w:t>
      </w:r>
    </w:p>
    <w:p w:rsidR="00E02F02" w:rsidRDefault="00E02F02">
      <w:pPr>
        <w:jc w:val="center"/>
      </w:pP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electromagnetic spectrum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refracting telescope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ref</w:t>
      </w:r>
      <w:r>
        <w:rPr>
          <w:color w:val="5040AE"/>
          <w:sz w:val="24"/>
          <w:highlight w:val="white"/>
        </w:rPr>
        <w:t>lecting telescope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radio telescope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satellite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 xml:space="preserve">orbit 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space probe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space station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sphere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axis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axial tilt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rotation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revolution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ellipse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solstice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equinox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moon phases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solar/lunar eclipse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solar system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comet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meteor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meteorite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constellation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layers of the Sun: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nebula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giant/super giant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white dwarf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neutron star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black hole</w:t>
      </w:r>
    </w:p>
    <w:p w:rsidR="00E02F02" w:rsidRDefault="00406CF1">
      <w:pPr>
        <w:numPr>
          <w:ilvl w:val="0"/>
          <w:numId w:val="1"/>
        </w:numPr>
        <w:ind w:hanging="359"/>
        <w:contextualSpacing/>
        <w:rPr>
          <w:color w:val="5040AE"/>
          <w:sz w:val="24"/>
          <w:highlight w:val="white"/>
        </w:rPr>
      </w:pPr>
      <w:r>
        <w:rPr>
          <w:color w:val="5040AE"/>
          <w:sz w:val="24"/>
          <w:highlight w:val="white"/>
        </w:rPr>
        <w:t>galaxy</w:t>
      </w:r>
    </w:p>
    <w:sectPr w:rsidR="00E02F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E33"/>
    <w:multiLevelType w:val="multilevel"/>
    <w:tmpl w:val="F52E81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02F02"/>
    <w:rsid w:val="00406CF1"/>
    <w:rsid w:val="00E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sci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DoDDS-E</cp:lastModifiedBy>
  <cp:revision>2</cp:revision>
  <dcterms:created xsi:type="dcterms:W3CDTF">2015-03-04T15:18:00Z</dcterms:created>
  <dcterms:modified xsi:type="dcterms:W3CDTF">2015-03-04T15:18:00Z</dcterms:modified>
</cp:coreProperties>
</file>